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9802" w14:textId="0940C361" w:rsidR="001D6FDF" w:rsidRDefault="001D6FDF" w:rsidP="007A4E15">
      <w:pPr>
        <w:spacing w:after="0" w:line="276" w:lineRule="auto"/>
        <w:rPr>
          <w:rFonts w:ascii="Trebuchet MS" w:eastAsia="Times New Roman" w:hAnsi="Trebuchet MS" w:cs="Open Sans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rebuchet MS" w:eastAsia="Times New Roman" w:hAnsi="Trebuchet MS" w:cs="Open Sans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DE0787" wp14:editId="611E9CF4">
            <wp:simplePos x="3642360" y="792480"/>
            <wp:positionH relativeFrom="margin">
              <wp:align>right</wp:align>
            </wp:positionH>
            <wp:positionV relativeFrom="margin">
              <wp:align>top</wp:align>
            </wp:positionV>
            <wp:extent cx="3161040" cy="640080"/>
            <wp:effectExtent l="0" t="0" r="1270" b="7620"/>
            <wp:wrapSquare wrapText="bothSides"/>
            <wp:docPr id="10865639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63965" name="Picture 10865639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imes New Roman" w:hAnsi="Trebuchet MS" w:cs="Open Sans"/>
          <w:b/>
          <w:bCs/>
          <w:noProof/>
          <w:color w:val="000000"/>
          <w:kern w:val="0"/>
        </w:rPr>
        <w:drawing>
          <wp:anchor distT="0" distB="0" distL="114300" distR="114300" simplePos="0" relativeHeight="251657216" behindDoc="0" locked="0" layoutInCell="1" allowOverlap="1" wp14:anchorId="01564BEC" wp14:editId="2FC985CC">
            <wp:simplePos x="944880" y="739140"/>
            <wp:positionH relativeFrom="margin">
              <wp:align>left</wp:align>
            </wp:positionH>
            <wp:positionV relativeFrom="margin">
              <wp:align>top</wp:align>
            </wp:positionV>
            <wp:extent cx="1545590" cy="640080"/>
            <wp:effectExtent l="0" t="0" r="0" b="7620"/>
            <wp:wrapTopAndBottom/>
            <wp:docPr id="1651391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91407" name="Picture 16513914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716AC" w14:textId="77777777" w:rsidR="001D6FDF" w:rsidRDefault="001D6FDF" w:rsidP="007A4E15">
      <w:pPr>
        <w:spacing w:after="0" w:line="276" w:lineRule="auto"/>
        <w:rPr>
          <w:rFonts w:ascii="Trebuchet MS" w:eastAsia="Times New Roman" w:hAnsi="Trebuchet MS" w:cs="Open Sans"/>
          <w:b/>
          <w:bCs/>
          <w:color w:val="000000"/>
          <w:kern w:val="0"/>
          <w:sz w:val="32"/>
          <w:szCs w:val="32"/>
          <w14:ligatures w14:val="none"/>
        </w:rPr>
      </w:pPr>
    </w:p>
    <w:p w14:paraId="3AF8C1A2" w14:textId="23257462" w:rsidR="009F3460" w:rsidRPr="00C976E9" w:rsidRDefault="009F3460" w:rsidP="001D6FDF">
      <w:pPr>
        <w:spacing w:after="0" w:line="276" w:lineRule="auto"/>
        <w:jc w:val="center"/>
        <w:rPr>
          <w:rFonts w:ascii="Trebuchet MS" w:eastAsia="Times New Roman" w:hAnsi="Trebuchet MS" w:cs="Open Sans"/>
          <w:b/>
          <w:bCs/>
          <w:color w:val="000000"/>
          <w:kern w:val="0"/>
          <w:sz w:val="32"/>
          <w:szCs w:val="32"/>
          <w14:ligatures w14:val="none"/>
        </w:rPr>
      </w:pP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:sz w:val="32"/>
          <w:szCs w:val="32"/>
          <w14:ligatures w14:val="none"/>
        </w:rPr>
        <w:t>NFLL Registration Steps for Current and New Members</w:t>
      </w:r>
    </w:p>
    <w:p w14:paraId="6B6495AA" w14:textId="23199C02" w:rsidR="009F3460" w:rsidRPr="00C976E9" w:rsidRDefault="009F3460" w:rsidP="007A4E15">
      <w:pPr>
        <w:spacing w:after="0" w:line="276" w:lineRule="auto"/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</w:pPr>
    </w:p>
    <w:p w14:paraId="09231AB4" w14:textId="70879F69" w:rsidR="00F55E8B" w:rsidRPr="00C976E9" w:rsidRDefault="00F55E8B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>New Frontiers for Lifelong Learning (NFLL)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 is a Mesa Community College (MCC) non-credit, community education program designed by and for active seniors in the community. NFLL members serve as MCC ambassadors to active adult learners: providing peer-led classes (in person and online), social events, volunteer opportunities, and physical activities like hiking, biking, and walking groups. Learn more about NFLL at </w:t>
      </w:r>
      <w:hyperlink r:id="rId9" w:history="1">
        <w:r w:rsidRPr="00C976E9">
          <w:rPr>
            <w:rFonts w:ascii="Trebuchet MS" w:eastAsia="Times New Roman" w:hAnsi="Trebuchet MS" w:cs="Open Sans"/>
            <w:color w:val="467886"/>
            <w:kern w:val="0"/>
            <w:u w:val="single"/>
            <w14:ligatures w14:val="none"/>
          </w:rPr>
          <w:t>newfrontiers.mesacc.edu</w:t>
        </w:r>
      </w:hyperlink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 or call 480-461-7497.</w:t>
      </w:r>
    </w:p>
    <w:p w14:paraId="22C4113B" w14:textId="77777777" w:rsidR="00F55E8B" w:rsidRPr="00C976E9" w:rsidRDefault="00F55E8B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</w:p>
    <w:p w14:paraId="56D5D3DB" w14:textId="2D395649" w:rsidR="00F55E8B" w:rsidRPr="00C976E9" w:rsidRDefault="00F55E8B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  <w:bookmarkStart w:id="0" w:name="_Hlk204775077"/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 xml:space="preserve">The fee to join NFLL is $80 </w:t>
      </w:r>
      <w:bookmarkEnd w:id="0"/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>covering activities in the academic year from August 1</w:t>
      </w:r>
      <w:r w:rsidR="000F4A21"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>, 2025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 through July 31</w:t>
      </w:r>
      <w:r w:rsidR="000F4A21"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>, 2026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>. No partial fee is available. For this fee members may attend unlimited in-person, online classes, or social events as they wish. Additional fees may be assessed for supplies and social events. </w:t>
      </w:r>
    </w:p>
    <w:p w14:paraId="642D6713" w14:textId="77777777" w:rsidR="00F55E8B" w:rsidRPr="00C976E9" w:rsidRDefault="00F55E8B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</w:p>
    <w:p w14:paraId="215BDC9F" w14:textId="77777777" w:rsidR="00CD336F" w:rsidRPr="00C976E9" w:rsidRDefault="00F55E8B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>New Frontiers membership is a Two-Step process.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 Register through MCC enrollment Services or your online Student Portal for the MCC Non-Credit Seniors course for $80. Afterwards, access your New Frontiers account on the NFLL website. The $80 fee Membership fees is paid to Mesa Community College in a separate process before registering for classes.</w:t>
      </w:r>
      <w:r w:rsidRPr="00C976E9">
        <w:rPr>
          <w:rFonts w:ascii="Trebuchet MS" w:eastAsia="Times New Roman" w:hAnsi="Trebuchet MS" w:cs="Times New Roman"/>
          <w:kern w:val="0"/>
          <w14:ligatures w14:val="none"/>
        </w:rPr>
        <w:br/>
      </w:r>
    </w:p>
    <w:p w14:paraId="6D03E667" w14:textId="77777777" w:rsidR="00625E1D" w:rsidRPr="00C976E9" w:rsidRDefault="00625E1D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</w:p>
    <w:tbl>
      <w:tblPr>
        <w:tblStyle w:val="TableGrid"/>
        <w:tblW w:w="9350" w:type="dxa"/>
        <w:tblInd w:w="-180" w:type="dxa"/>
        <w:tblLook w:val="04A0" w:firstRow="1" w:lastRow="0" w:firstColumn="1" w:lastColumn="0" w:noHBand="0" w:noVBand="1"/>
      </w:tblPr>
      <w:tblGrid>
        <w:gridCol w:w="9350"/>
      </w:tblGrid>
      <w:tr w:rsidR="0088454C" w:rsidRPr="00C976E9" w14:paraId="6C2363B6" w14:textId="77777777" w:rsidTr="0036263D">
        <w:trPr>
          <w:trHeight w:val="720"/>
        </w:trPr>
        <w:tc>
          <w:tcPr>
            <w:tcW w:w="9350" w:type="dxa"/>
            <w:shd w:val="clear" w:color="auto" w:fill="EE0000"/>
            <w:vAlign w:val="center"/>
          </w:tcPr>
          <w:p w14:paraId="393973FC" w14:textId="77777777" w:rsidR="0088454C" w:rsidRPr="00C976E9" w:rsidRDefault="0088454C" w:rsidP="007A4E15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kern w:val="0"/>
                <w:sz w:val="32"/>
                <w:szCs w:val="32"/>
                <w14:ligatures w14:val="none"/>
              </w:rPr>
            </w:pPr>
            <w:r w:rsidRPr="00C976E9">
              <w:rPr>
                <w:rFonts w:ascii="Trebuchet MS" w:eastAsia="Times New Roman" w:hAnsi="Trebuchet MS" w:cs="Open Sans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Current Member Renewal</w:t>
            </w:r>
          </w:p>
        </w:tc>
      </w:tr>
    </w:tbl>
    <w:p w14:paraId="1F8D2B41" w14:textId="77777777" w:rsidR="00625E1D" w:rsidRPr="00C976E9" w:rsidRDefault="00625E1D" w:rsidP="00625E1D">
      <w:pPr>
        <w:pStyle w:val="ListParagraph"/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</w:p>
    <w:p w14:paraId="0487F83E" w14:textId="4A905EAF" w:rsidR="00CD336F" w:rsidRPr="00C976E9" w:rsidRDefault="00CD336F" w:rsidP="007A4E15">
      <w:pPr>
        <w:pStyle w:val="ListParagraph"/>
        <w:numPr>
          <w:ilvl w:val="0"/>
          <w:numId w:val="26"/>
        </w:num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color w:val="404040"/>
          <w:kern w:val="0"/>
          <w14:ligatures w14:val="none"/>
        </w:rPr>
        <w:t xml:space="preserve">Complete the </w:t>
      </w:r>
      <w:hyperlink r:id="rId10" w:history="1">
        <w:r w:rsidRPr="00C976E9">
          <w:rPr>
            <w:rStyle w:val="Hyperlink"/>
            <w:rFonts w:ascii="Trebuchet MS" w:eastAsia="Times New Roman" w:hAnsi="Trebuchet MS" w:cs="Open Sans"/>
            <w:kern w:val="0"/>
            <w14:ligatures w14:val="none"/>
          </w:rPr>
          <w:t>2025-2026 Membership Form</w:t>
        </w:r>
      </w:hyperlink>
      <w:r w:rsidRPr="00C976E9">
        <w:rPr>
          <w:rFonts w:ascii="Trebuchet MS" w:eastAsia="Times New Roman" w:hAnsi="Trebuchet MS" w:cs="Open Sans"/>
          <w:color w:val="404040"/>
          <w:kern w:val="0"/>
          <w14:ligatures w14:val="none"/>
        </w:rPr>
        <w:t>.  Wait for an email (within 5-7 days) confirming you are registered with instructions on how to pay your $80 fee.</w:t>
      </w:r>
    </w:p>
    <w:p w14:paraId="489DEACA" w14:textId="0E4EEA87" w:rsidR="00CD336F" w:rsidRPr="00C976E9" w:rsidRDefault="00CD336F" w:rsidP="007A4E15">
      <w:pPr>
        <w:pStyle w:val="ListParagraph"/>
        <w:numPr>
          <w:ilvl w:val="0"/>
          <w:numId w:val="26"/>
        </w:num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color w:val="404040"/>
          <w:kern w:val="0"/>
          <w14:ligatures w14:val="none"/>
        </w:rPr>
        <w:t>Pay your fee online, in person at the Dobson Campus, or by phone. Credit card payment is requested.</w:t>
      </w:r>
    </w:p>
    <w:p w14:paraId="3D91A860" w14:textId="77777777" w:rsidR="00625E1D" w:rsidRPr="00C976E9" w:rsidRDefault="00625E1D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</w:p>
    <w:tbl>
      <w:tblPr>
        <w:tblStyle w:val="TableGrid"/>
        <w:tblW w:w="9350" w:type="dxa"/>
        <w:tblInd w:w="-180" w:type="dxa"/>
        <w:tblLook w:val="04A0" w:firstRow="1" w:lastRow="0" w:firstColumn="1" w:lastColumn="0" w:noHBand="0" w:noVBand="1"/>
      </w:tblPr>
      <w:tblGrid>
        <w:gridCol w:w="9350"/>
      </w:tblGrid>
      <w:tr w:rsidR="0088454C" w:rsidRPr="00C976E9" w14:paraId="175F7440" w14:textId="77777777" w:rsidTr="0036263D">
        <w:trPr>
          <w:trHeight w:val="720"/>
        </w:trPr>
        <w:tc>
          <w:tcPr>
            <w:tcW w:w="9350" w:type="dxa"/>
            <w:shd w:val="clear" w:color="auto" w:fill="215E99" w:themeFill="text2" w:themeFillTint="BF"/>
            <w:vAlign w:val="center"/>
          </w:tcPr>
          <w:p w14:paraId="716DABA9" w14:textId="77777777" w:rsidR="0088454C" w:rsidRPr="00C976E9" w:rsidRDefault="0088454C" w:rsidP="007A4E15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976E9">
              <w:rPr>
                <w:rFonts w:ascii="Trebuchet MS" w:eastAsia="Times New Roman" w:hAnsi="Trebuchet MS" w:cs="Open Sans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New Member Enrollment</w:t>
            </w:r>
          </w:p>
        </w:tc>
      </w:tr>
    </w:tbl>
    <w:p w14:paraId="5D33B5C3" w14:textId="77777777" w:rsidR="00625E1D" w:rsidRPr="00C976E9" w:rsidRDefault="00625E1D" w:rsidP="007A4E15">
      <w:pPr>
        <w:spacing w:line="276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</w:p>
    <w:p w14:paraId="1549FFF6" w14:textId="7C1C314C" w:rsidR="0088454C" w:rsidRPr="00C976E9" w:rsidRDefault="0088454C" w:rsidP="007A4E15">
      <w:pPr>
        <w:spacing w:line="276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14:ligatures w14:val="none"/>
        </w:rPr>
      </w:pPr>
      <w:r w:rsidRPr="00C976E9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If </w:t>
      </w:r>
      <w:r w:rsidRPr="00C976E9">
        <w:rPr>
          <w:rFonts w:ascii="Trebuchet MS" w:eastAsia="Times New Roman" w:hAnsi="Trebuchet MS" w:cs="Times New Roman"/>
          <w:b/>
          <w:bCs/>
          <w:color w:val="000000"/>
          <w:kern w:val="0"/>
          <w14:ligatures w14:val="none"/>
        </w:rPr>
        <w:t>NEW</w:t>
      </w:r>
      <w:r w:rsidRPr="00C976E9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to MCC, first complete the non-credit admissions process. Go to </w:t>
      </w:r>
      <w:hyperlink r:id="rId11" w:history="1">
        <w:r w:rsidRPr="00C976E9">
          <w:rPr>
            <w:rStyle w:val="Hyperlink"/>
            <w:rFonts w:ascii="Trebuchet MS" w:eastAsia="Times New Roman" w:hAnsi="Trebuchet MS" w:cs="Times New Roman"/>
            <w:kern w:val="0"/>
            <w14:ligatures w14:val="none"/>
          </w:rPr>
          <w:t>Non-Credit Admission</w:t>
        </w:r>
      </w:hyperlink>
      <w:r w:rsidRPr="00C976E9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to get started. Not comfortable doing this online? You can complete the </w:t>
      </w:r>
      <w:r w:rsidRPr="00C976E9">
        <w:rPr>
          <w:rFonts w:ascii="Trebuchet MS" w:eastAsia="Times New Roman" w:hAnsi="Trebuchet MS" w:cs="Times New Roman"/>
          <w:b/>
          <w:bCs/>
          <w:color w:val="000000"/>
          <w:kern w:val="0"/>
          <w14:ligatures w14:val="none"/>
        </w:rPr>
        <w:lastRenderedPageBreak/>
        <w:t>non-credit</w:t>
      </w:r>
      <w:r w:rsidRPr="00C976E9">
        <w:rPr>
          <w:rFonts w:ascii="Trebuchet MS" w:eastAsia="Times New Roman" w:hAnsi="Trebuchet MS" w:cs="Times New Roman"/>
          <w:color w:val="000000"/>
          <w:kern w:val="0"/>
          <w14:ligatures w14:val="none"/>
        </w:rPr>
        <w:t xml:space="preserve"> admission process in person at the Enrollment Center at either the Dobson-Southern or Red Mountain Campuses.</w:t>
      </w:r>
    </w:p>
    <w:p w14:paraId="52ED4F7E" w14:textId="1C981755" w:rsidR="0088454C" w:rsidRPr="00C976E9" w:rsidRDefault="0088454C" w:rsidP="007A4E15">
      <w:pPr>
        <w:pStyle w:val="ListParagraph"/>
        <w:numPr>
          <w:ilvl w:val="0"/>
          <w:numId w:val="27"/>
        </w:numPr>
        <w:spacing w:line="276" w:lineRule="auto"/>
        <w:rPr>
          <w:rFonts w:ascii="Trebuchet MS" w:hAnsi="Trebuchet MS"/>
        </w:rPr>
      </w:pPr>
      <w:r w:rsidRPr="00C976E9">
        <w:rPr>
          <w:rFonts w:ascii="Trebuchet MS" w:hAnsi="Trebuchet MS"/>
        </w:rPr>
        <w:t xml:space="preserve">Complete the New Frontiers </w:t>
      </w:r>
      <w:hyperlink r:id="rId12" w:history="1">
        <w:r w:rsidRPr="00C976E9">
          <w:rPr>
            <w:rStyle w:val="Hyperlink"/>
            <w:rFonts w:ascii="Trebuchet MS" w:hAnsi="Trebuchet MS"/>
          </w:rPr>
          <w:t>2025-26 Membership Form</w:t>
        </w:r>
      </w:hyperlink>
      <w:r w:rsidRPr="00C976E9">
        <w:rPr>
          <w:rFonts w:ascii="Trebuchet MS" w:hAnsi="Trebuchet MS"/>
        </w:rPr>
        <w:t>. After submitting, wait for an email confirmation (within 5-7 days) stating you are registered in New Frontiers with instructions on how to pay your $80 fee. You also have the option to self-register and pay in your Maricopa Student Portal. Fall 2025 course Class is #23046.</w:t>
      </w:r>
    </w:p>
    <w:p w14:paraId="750F676B" w14:textId="495BCC5B" w:rsidR="0088454C" w:rsidRPr="00C976E9" w:rsidRDefault="0088454C" w:rsidP="007A4E15">
      <w:pPr>
        <w:pStyle w:val="ListParagraph"/>
        <w:numPr>
          <w:ilvl w:val="0"/>
          <w:numId w:val="27"/>
        </w:numPr>
        <w:spacing w:line="276" w:lineRule="auto"/>
        <w:rPr>
          <w:rFonts w:ascii="Trebuchet MS" w:hAnsi="Trebuchet MS"/>
        </w:rPr>
      </w:pPr>
      <w:r w:rsidRPr="00C976E9">
        <w:rPr>
          <w:rFonts w:ascii="Trebuchet MS" w:hAnsi="Trebuchet MS"/>
        </w:rPr>
        <w:t xml:space="preserve">Go to </w:t>
      </w:r>
      <w:hyperlink r:id="rId13" w:history="1">
        <w:r w:rsidRPr="00C976E9">
          <w:rPr>
            <w:rStyle w:val="Hyperlink"/>
            <w:rFonts w:ascii="Trebuchet MS" w:hAnsi="Trebuchet MS"/>
          </w:rPr>
          <w:t>newfrontiers.mesacc.edu</w:t>
        </w:r>
      </w:hyperlink>
      <w:r w:rsidRPr="00C976E9">
        <w:rPr>
          <w:rFonts w:ascii="Trebuchet MS" w:hAnsi="Trebuchet MS"/>
        </w:rPr>
        <w:t>. Click on the Members Acct tab at the top right of the page. Create a New Frontiers Pro Class account. Keep a record of your User ID and password – you will need this each term to register. Your account will be activated within 2-3 business days after you pay.</w:t>
      </w:r>
    </w:p>
    <w:p w14:paraId="11733CD3" w14:textId="1CCC5D53" w:rsidR="0088454C" w:rsidRPr="00C976E9" w:rsidRDefault="0088454C" w:rsidP="007A4E15">
      <w:pPr>
        <w:pStyle w:val="ListParagraph"/>
        <w:numPr>
          <w:ilvl w:val="0"/>
          <w:numId w:val="27"/>
        </w:numPr>
        <w:spacing w:line="276" w:lineRule="auto"/>
        <w:rPr>
          <w:rFonts w:ascii="Trebuchet MS" w:hAnsi="Trebuchet MS"/>
        </w:rPr>
      </w:pPr>
      <w:r w:rsidRPr="00C976E9">
        <w:rPr>
          <w:rFonts w:ascii="Trebuchet MS" w:hAnsi="Trebuchet MS"/>
        </w:rPr>
        <w:t xml:space="preserve">Once you have been notified that your </w:t>
      </w:r>
      <w:proofErr w:type="spellStart"/>
      <w:r w:rsidRPr="00C976E9">
        <w:rPr>
          <w:rFonts w:ascii="Trebuchet MS" w:hAnsi="Trebuchet MS"/>
        </w:rPr>
        <w:t>ProClass</w:t>
      </w:r>
      <w:proofErr w:type="spellEnd"/>
      <w:r w:rsidRPr="00C976E9">
        <w:rPr>
          <w:rFonts w:ascii="Trebuchet MS" w:hAnsi="Trebuchet MS"/>
        </w:rPr>
        <w:t xml:space="preserve"> account has been activated, you may register for classes.</w:t>
      </w:r>
    </w:p>
    <w:p w14:paraId="3263A737" w14:textId="4D53B2B0" w:rsidR="0088454C" w:rsidRPr="00C976E9" w:rsidRDefault="0088454C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</w:p>
    <w:tbl>
      <w:tblPr>
        <w:tblStyle w:val="TableGrid"/>
        <w:tblW w:w="9350" w:type="dxa"/>
        <w:tblInd w:w="-180" w:type="dxa"/>
        <w:tblLook w:val="04A0" w:firstRow="1" w:lastRow="0" w:firstColumn="1" w:lastColumn="0" w:noHBand="0" w:noVBand="1"/>
      </w:tblPr>
      <w:tblGrid>
        <w:gridCol w:w="9350"/>
      </w:tblGrid>
      <w:tr w:rsidR="0088454C" w:rsidRPr="00C976E9" w14:paraId="1405C741" w14:textId="77777777" w:rsidTr="0036263D">
        <w:trPr>
          <w:trHeight w:val="720"/>
        </w:trPr>
        <w:tc>
          <w:tcPr>
            <w:tcW w:w="9350" w:type="dxa"/>
            <w:shd w:val="clear" w:color="auto" w:fill="FFC000"/>
            <w:vAlign w:val="center"/>
          </w:tcPr>
          <w:p w14:paraId="56F870A1" w14:textId="77777777" w:rsidR="0088454C" w:rsidRPr="00C976E9" w:rsidRDefault="0088454C" w:rsidP="007A4E15">
            <w:pPr>
              <w:spacing w:line="276" w:lineRule="auto"/>
              <w:jc w:val="center"/>
              <w:textAlignment w:val="baseline"/>
              <w:rPr>
                <w:rFonts w:ascii="Trebuchet MS" w:eastAsia="Times New Roman" w:hAnsi="Trebuchet MS" w:cs="Open Sans"/>
                <w:b/>
                <w:bCs/>
                <w:color w:val="404040"/>
                <w:kern w:val="0"/>
                <w:sz w:val="32"/>
                <w:szCs w:val="32"/>
                <w14:ligatures w14:val="none"/>
              </w:rPr>
            </w:pPr>
            <w:r w:rsidRPr="00C976E9">
              <w:rPr>
                <w:rFonts w:ascii="Trebuchet MS" w:eastAsia="Times New Roman" w:hAnsi="Trebuchet MS" w:cs="Open Sans"/>
                <w:b/>
                <w:bCs/>
                <w:color w:val="404040"/>
                <w:kern w:val="0"/>
                <w:sz w:val="32"/>
                <w:szCs w:val="32"/>
                <w14:ligatures w14:val="none"/>
              </w:rPr>
              <w:t>CLASS REGISTRATION OPENS AUGUST 29</w:t>
            </w:r>
          </w:p>
        </w:tc>
      </w:tr>
    </w:tbl>
    <w:p w14:paraId="223AD380" w14:textId="24EF4896" w:rsidR="00625E1D" w:rsidRPr="00C976E9" w:rsidRDefault="00625E1D" w:rsidP="007A4E15">
      <w:pPr>
        <w:spacing w:line="276" w:lineRule="auto"/>
        <w:textAlignment w:val="baseline"/>
        <w:rPr>
          <w:rFonts w:ascii="Trebuchet MS" w:eastAsia="Times New Roman" w:hAnsi="Trebuchet MS" w:cs="Open Sans"/>
          <w:b/>
          <w:bCs/>
          <w:color w:val="404040"/>
          <w:kern w:val="0"/>
          <w14:ligatures w14:val="none"/>
        </w:rPr>
      </w:pPr>
    </w:p>
    <w:p w14:paraId="3DB585F1" w14:textId="05064D1B" w:rsidR="0088454C" w:rsidRPr="00C976E9" w:rsidRDefault="0088454C" w:rsidP="007A4E15">
      <w:pPr>
        <w:spacing w:line="276" w:lineRule="auto"/>
        <w:textAlignment w:val="baseline"/>
        <w:rPr>
          <w:rFonts w:ascii="Trebuchet MS" w:eastAsia="Times New Roman" w:hAnsi="Trebuchet MS" w:cs="Open Sans"/>
          <w:b/>
          <w:bCs/>
          <w:color w:val="404040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b/>
          <w:bCs/>
          <w:color w:val="404040"/>
          <w:kern w:val="0"/>
          <w14:ligatures w14:val="none"/>
        </w:rPr>
        <w:t xml:space="preserve">To register for NFLL classes: </w:t>
      </w:r>
    </w:p>
    <w:p w14:paraId="22BFB145" w14:textId="6219AE6C" w:rsidR="0088454C" w:rsidRPr="00C976E9" w:rsidRDefault="0088454C" w:rsidP="007A4E15">
      <w:pPr>
        <w:pStyle w:val="ListParagraph"/>
        <w:numPr>
          <w:ilvl w:val="0"/>
          <w:numId w:val="28"/>
        </w:numPr>
        <w:spacing w:line="276" w:lineRule="auto"/>
        <w:textAlignment w:val="baseline"/>
        <w:rPr>
          <w:rFonts w:ascii="Trebuchet MS" w:eastAsia="Times New Roman" w:hAnsi="Trebuchet MS" w:cs="Open Sans"/>
          <w:color w:val="404040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color w:val="404040"/>
          <w:kern w:val="0"/>
          <w14:ligatures w14:val="none"/>
        </w:rPr>
        <w:t xml:space="preserve">Go to </w:t>
      </w:r>
      <w:hyperlink r:id="rId14" w:history="1">
        <w:r w:rsidRPr="00C976E9">
          <w:rPr>
            <w:rFonts w:ascii="Trebuchet MS" w:eastAsia="Times New Roman" w:hAnsi="Trebuchet MS" w:cs="Open Sans"/>
            <w:i/>
            <w:iCs/>
            <w:color w:val="467886"/>
            <w:kern w:val="0"/>
            <w:u w:val="single"/>
            <w14:ligatures w14:val="none"/>
          </w:rPr>
          <w:t>newfrontiers.mesacc.edu</w:t>
        </w:r>
      </w:hyperlink>
      <w:r w:rsidRPr="00C976E9">
        <w:rPr>
          <w:rFonts w:ascii="Trebuchet MS" w:eastAsia="Times New Roman" w:hAnsi="Trebuchet MS" w:cs="Open Sans"/>
          <w:i/>
          <w:iCs/>
          <w:color w:val="467886"/>
          <w:kern w:val="0"/>
          <w:u w:val="single"/>
          <w14:ligatures w14:val="none"/>
        </w:rPr>
        <w:t xml:space="preserve">. </w:t>
      </w:r>
    </w:p>
    <w:p w14:paraId="31F2036D" w14:textId="12785AAC" w:rsidR="007A4E15" w:rsidRPr="00C976E9" w:rsidRDefault="0088454C" w:rsidP="007A4E15">
      <w:pPr>
        <w:pStyle w:val="ListParagraph"/>
        <w:numPr>
          <w:ilvl w:val="0"/>
          <w:numId w:val="28"/>
        </w:numPr>
        <w:spacing w:line="276" w:lineRule="auto"/>
        <w:textAlignment w:val="baseline"/>
        <w:rPr>
          <w:rFonts w:ascii="Trebuchet MS" w:eastAsia="Times New Roman" w:hAnsi="Trebuchet MS" w:cs="Open Sans"/>
          <w:color w:val="404040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Click on the </w:t>
      </w:r>
      <w:r w:rsidRPr="00C976E9">
        <w:rPr>
          <w:rFonts w:ascii="Trebuchet MS" w:eastAsia="Times New Roman" w:hAnsi="Trebuchet MS" w:cs="Open Sans"/>
          <w:b/>
          <w:bCs/>
          <w:i/>
          <w:iCs/>
          <w:color w:val="000000"/>
          <w:kern w:val="0"/>
          <w14:ligatures w14:val="none"/>
        </w:rPr>
        <w:t>Members Acct</w:t>
      </w:r>
      <w:r w:rsidRPr="00C976E9">
        <w:rPr>
          <w:rFonts w:ascii="Trebuchet MS" w:eastAsia="Times New Roman" w:hAnsi="Trebuchet MS" w:cs="Open Sans"/>
          <w:i/>
          <w:iCs/>
          <w:color w:val="000000"/>
          <w:kern w:val="0"/>
          <w14:ligatures w14:val="none"/>
        </w:rPr>
        <w:t xml:space="preserve"> 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tab at the top </w:t>
      </w: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>right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 of the page. </w:t>
      </w:r>
    </w:p>
    <w:p w14:paraId="77E03880" w14:textId="1AC963EB" w:rsidR="0088454C" w:rsidRPr="00C976E9" w:rsidRDefault="0088454C" w:rsidP="007A4E15">
      <w:pPr>
        <w:pStyle w:val="ListParagraph"/>
        <w:numPr>
          <w:ilvl w:val="0"/>
          <w:numId w:val="28"/>
        </w:numPr>
        <w:spacing w:after="0" w:line="276" w:lineRule="auto"/>
        <w:textAlignment w:val="baseline"/>
        <w:rPr>
          <w:rFonts w:ascii="Trebuchet MS" w:eastAsia="Times New Roman" w:hAnsi="Trebuchet MS" w:cs="Open Sans"/>
          <w:color w:val="404040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color w:val="404040"/>
          <w:kern w:val="0"/>
          <w14:ligatures w14:val="none"/>
        </w:rPr>
        <w:t xml:space="preserve">Login, </w:t>
      </w:r>
      <w:r w:rsidRPr="00C976E9">
        <w:rPr>
          <w:rFonts w:ascii="Trebuchet MS" w:eastAsia="Times New Roman" w:hAnsi="Trebuchet MS" w:cs="Open Sans"/>
          <w:i/>
          <w:iCs/>
          <w:color w:val="404040"/>
          <w:kern w:val="0"/>
          <w14:ligatures w14:val="none"/>
        </w:rPr>
        <w:t>DO NOT</w:t>
      </w:r>
      <w:r w:rsidRPr="00C976E9">
        <w:rPr>
          <w:rFonts w:ascii="Trebuchet MS" w:eastAsia="Times New Roman" w:hAnsi="Trebuchet MS" w:cs="Open Sans"/>
          <w:color w:val="404040"/>
          <w:kern w:val="0"/>
          <w14:ligatures w14:val="none"/>
        </w:rPr>
        <w:t xml:space="preserve"> create a new account.</w:t>
      </w:r>
    </w:p>
    <w:p w14:paraId="6FE4916A" w14:textId="77777777" w:rsidR="0088454C" w:rsidRPr="00C976E9" w:rsidRDefault="0088454C" w:rsidP="007A4E15">
      <w:pPr>
        <w:pStyle w:val="ListParagraph"/>
        <w:numPr>
          <w:ilvl w:val="0"/>
          <w:numId w:val="28"/>
        </w:numPr>
        <w:spacing w:after="0" w:line="276" w:lineRule="auto"/>
        <w:textAlignment w:val="baseline"/>
        <w:rPr>
          <w:rFonts w:ascii="Trebuchet MS" w:eastAsia="Times New Roman" w:hAnsi="Trebuchet MS" w:cs="Open Sans"/>
          <w:color w:val="404040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>Update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 your member account information if necessary OR ask for a password recovery.</w:t>
      </w:r>
    </w:p>
    <w:p w14:paraId="2EAB86B8" w14:textId="6FC95FEF" w:rsidR="0088454C" w:rsidRPr="00C976E9" w:rsidRDefault="0088454C" w:rsidP="007A4E15">
      <w:pPr>
        <w:pStyle w:val="ListParagraph"/>
        <w:numPr>
          <w:ilvl w:val="0"/>
          <w:numId w:val="28"/>
        </w:numPr>
        <w:spacing w:after="0" w:line="276" w:lineRule="auto"/>
        <w:textAlignment w:val="baseline"/>
        <w:rPr>
          <w:rFonts w:ascii="Trebuchet MS" w:eastAsia="Times New Roman" w:hAnsi="Trebuchet MS" w:cs="Open Sans"/>
          <w:color w:val="000000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Click on </w:t>
      </w: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 xml:space="preserve">Search 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at the upper left and find your classes. </w:t>
      </w: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>Registration opens August 29.</w:t>
      </w:r>
    </w:p>
    <w:p w14:paraId="055C1A63" w14:textId="77777777" w:rsidR="0088454C" w:rsidRPr="00C976E9" w:rsidRDefault="0088454C" w:rsidP="007A4E15">
      <w:pPr>
        <w:pStyle w:val="ListParagraph"/>
        <w:numPr>
          <w:ilvl w:val="0"/>
          <w:numId w:val="28"/>
        </w:numPr>
        <w:spacing w:after="0" w:line="276" w:lineRule="auto"/>
        <w:textAlignment w:val="baseline"/>
        <w:rPr>
          <w:rFonts w:ascii="Trebuchet MS" w:eastAsia="Times New Roman" w:hAnsi="Trebuchet MS" w:cs="Open Sans"/>
          <w:color w:val="000000"/>
          <w:kern w:val="0"/>
          <w14:ligatures w14:val="none"/>
        </w:rPr>
      </w:pP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 xml:space="preserve">Register for your classes! After selecting your courses, </w:t>
      </w:r>
      <w:r w:rsidRPr="00C976E9">
        <w:rPr>
          <w:rFonts w:ascii="Trebuchet MS" w:eastAsia="Times New Roman" w:hAnsi="Trebuchet MS" w:cs="Open Sans"/>
          <w:b/>
          <w:bCs/>
          <w:color w:val="000000"/>
          <w:kern w:val="0"/>
          <w14:ligatures w14:val="none"/>
        </w:rPr>
        <w:t>be sure to submit the registrations</w:t>
      </w:r>
      <w:r w:rsidRPr="00C976E9">
        <w:rPr>
          <w:rFonts w:ascii="Trebuchet MS" w:eastAsia="Times New Roman" w:hAnsi="Trebuchet MS" w:cs="Open Sans"/>
          <w:color w:val="000000"/>
          <w:kern w:val="0"/>
          <w14:ligatures w14:val="none"/>
        </w:rPr>
        <w:t>.</w:t>
      </w:r>
    </w:p>
    <w:p w14:paraId="28FCF2FF" w14:textId="5BE34E20" w:rsidR="00F55E8B" w:rsidRPr="00C976E9" w:rsidRDefault="00712AC2" w:rsidP="007A4E15">
      <w:pPr>
        <w:spacing w:after="0" w:line="276" w:lineRule="auto"/>
        <w:rPr>
          <w:rFonts w:ascii="Trebuchet MS" w:eastAsia="Times New Roman" w:hAnsi="Trebuchet MS" w:cs="Times New Roman"/>
          <w:kern w:val="0"/>
          <w14:ligatures w14:val="none"/>
        </w:rPr>
      </w:pPr>
      <w:r>
        <w:rPr>
          <w:rFonts w:ascii="Trebuchet MS" w:eastAsia="Times New Roman" w:hAnsi="Trebuchet MS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39062E" wp14:editId="13B890B4">
                <wp:simplePos x="0" y="0"/>
                <wp:positionH relativeFrom="column">
                  <wp:posOffset>-906780</wp:posOffset>
                </wp:positionH>
                <wp:positionV relativeFrom="paragraph">
                  <wp:posOffset>1651000</wp:posOffset>
                </wp:positionV>
                <wp:extent cx="7745730" cy="811530"/>
                <wp:effectExtent l="0" t="0" r="26670" b="26670"/>
                <wp:wrapNone/>
                <wp:docPr id="201691572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730" cy="811530"/>
                          <a:chOff x="0" y="0"/>
                          <a:chExt cx="7745730" cy="811530"/>
                        </a:xfrm>
                      </wpg:grpSpPr>
                      <wps:wsp>
                        <wps:cNvPr id="1871061602" name="Rectangle 4"/>
                        <wps:cNvSpPr/>
                        <wps:spPr>
                          <a:xfrm>
                            <a:off x="0" y="0"/>
                            <a:ext cx="7745730" cy="811530"/>
                          </a:xfrm>
                          <a:prstGeom prst="rect">
                            <a:avLst/>
                          </a:prstGeom>
                          <a:solidFill>
                            <a:srgbClr val="004C97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7914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99060"/>
                            <a:ext cx="736473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81F8F" w14:textId="2FE6B918" w:rsidR="001D6FDF" w:rsidRPr="00712AC2" w:rsidRDefault="001D6FDF" w:rsidP="00AC686D">
                              <w:pPr>
                                <w:spacing w:line="240" w:lineRule="auto"/>
                                <w:ind w:left="28" w:right="118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The Maricopa County Community College District (MCCCD) is an EEO/AA institution and an equal opportunity employer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of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protected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veterans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and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individuals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with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disabilities.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All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qualified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applicants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will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receive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consideration for employment without regard to race, color, religion, sex, sexual orientation, gender identity, age, or </w:t>
                              </w:r>
                              <w:r w:rsidR="00AC686D"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national origin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lack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of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English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language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skills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will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not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be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barrier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to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admission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and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participation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in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the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career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and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technical education programs of the </w:t>
                              </w:r>
                              <w:proofErr w:type="gramStart"/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District</w:t>
                              </w:r>
                              <w:proofErr w:type="gramEnd"/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4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MCCCD does not discriminate on the basis of race, color, national origin, sex, disability or age in its programs or activities. For Title IX/504 concerns, call the following number to reach </w:t>
                              </w:r>
                              <w:r w:rsidR="00AC686D"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the appointed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coordinator: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(480)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731-8499.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For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additional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information,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as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well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as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listing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of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all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coordinators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within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12AC2">
                                <w:rPr>
                                  <w:rFonts w:ascii="Arial" w:hAnsi="Arial" w:cs="Arial"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the Maricopa College system, visit </w:t>
                              </w:r>
                              <w:hyperlink r:id="rId15">
                                <w:r w:rsidRPr="00712AC2">
                                  <w:rPr>
                                    <w:rFonts w:ascii="Arial" w:hAnsi="Arial" w:cs="Arial"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http://www.maricopa.edu/non-discrimination.</w:t>
                                </w:r>
                              </w:hyperlink>
                            </w:p>
                            <w:p w14:paraId="3AFC36AE" w14:textId="12DBDCF9" w:rsidR="001D6FDF" w:rsidRPr="00AC686D" w:rsidRDefault="001D6FD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9062E" id="Group 3" o:spid="_x0000_s1026" style="position:absolute;margin-left:-71.4pt;margin-top:130pt;width:609.9pt;height:63.9pt;z-index:251661312" coordsize="77457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">
                <v:rect id="Rectangle 4" o:spid="_x0000_s1027" style="position:absolute;width:77457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" fillcolor="#004c97" strokecolor="#030e13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05;top:990;width:73647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" filled="f">
                  <v:textbox>
                    <w:txbxContent>
                      <w:p w14:paraId="78181F8F" w14:textId="2FE6B918" w:rsidR="001D6FDF" w:rsidRPr="00712AC2" w:rsidRDefault="001D6FDF" w:rsidP="00AC686D">
                        <w:pPr>
                          <w:spacing w:line="240" w:lineRule="auto"/>
                          <w:ind w:left="28" w:right="118"/>
                          <w:jc w:val="both"/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The Maricopa County Community College District (MCCCD) is an EEO/AA institution and an equal opportunity employer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of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protected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veterans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and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individuals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with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disabilities.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All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qualified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applicants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will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receive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consideration for employment without regard to race, color, religion, sex, sexual orientation, gender identity, age, or </w:t>
                        </w:r>
                        <w:r w:rsidR="00AC686D"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national origin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.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lack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of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English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language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skills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will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not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be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barrier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to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admission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and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participation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in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the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career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and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technical education programs of the </w:t>
                        </w:r>
                        <w:proofErr w:type="gramStart"/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District</w:t>
                        </w:r>
                        <w:proofErr w:type="gramEnd"/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.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40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MCCCD does not discriminate on the basis of race, color, national origin, sex, disability or age in its programs or activities. For Title IX/504 concerns, call the following number to reach </w:t>
                        </w:r>
                        <w:r w:rsidR="00AC686D"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the appointed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coordinator: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(480)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731-8499.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For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additional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information,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as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well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as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listing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of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all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coordinators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>within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712AC2">
                          <w:rPr>
                            <w:rFonts w:ascii="Arial" w:hAnsi="Arial" w:cs="Arial"/>
                            <w:bCs/>
                            <w:color w:val="FFFFFF" w:themeColor="background1"/>
                            <w:sz w:val="14"/>
                            <w:szCs w:val="14"/>
                          </w:rPr>
                          <w:t xml:space="preserve">the Maricopa College system, visit </w:t>
                        </w:r>
                        <w:hyperlink r:id="rId16">
                          <w:r w:rsidRPr="00712AC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http://www.maricopa.edu/non-discrimination.</w:t>
                          </w:r>
                        </w:hyperlink>
                      </w:p>
                      <w:p w14:paraId="3AFC36AE" w14:textId="12DBDCF9" w:rsidR="001D6FDF" w:rsidRPr="00AC686D" w:rsidRDefault="001D6FDF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55E8B" w:rsidRPr="00C976E9" w:rsidSect="007A1582">
      <w:footerReference w:type="default" r:id="rId17"/>
      <w:pgSz w:w="12240" w:h="15840"/>
      <w:pgMar w:top="1166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84BC" w14:textId="77777777" w:rsidR="00BB39F7" w:rsidRDefault="00BB39F7" w:rsidP="00E01672">
      <w:pPr>
        <w:spacing w:after="0" w:line="240" w:lineRule="auto"/>
      </w:pPr>
      <w:r>
        <w:separator/>
      </w:r>
    </w:p>
  </w:endnote>
  <w:endnote w:type="continuationSeparator" w:id="0">
    <w:p w14:paraId="74BAF722" w14:textId="77777777" w:rsidR="00BB39F7" w:rsidRDefault="00BB39F7" w:rsidP="00E0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0DC5" w14:textId="483280E7" w:rsidR="00891F6A" w:rsidRPr="00712AC2" w:rsidRDefault="00891F6A" w:rsidP="00891F6A">
    <w:pPr>
      <w:pStyle w:val="Footer"/>
      <w:jc w:val="center"/>
      <w:rPr>
        <w:rFonts w:ascii="Montserrat" w:hAnsi="Montserrat"/>
      </w:rPr>
    </w:pPr>
    <w:r w:rsidRPr="00712AC2">
      <w:rPr>
        <w:rFonts w:ascii="Montserrat" w:hAnsi="Montserrat"/>
      </w:rPr>
      <w:t xml:space="preserve">Page </w:t>
    </w:r>
    <w:sdt>
      <w:sdtPr>
        <w:rPr>
          <w:rFonts w:ascii="Montserrat" w:hAnsi="Montserrat"/>
        </w:rPr>
        <w:id w:val="10679959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AC2">
          <w:rPr>
            <w:rFonts w:ascii="Montserrat" w:hAnsi="Montserrat"/>
          </w:rPr>
          <w:fldChar w:fldCharType="begin"/>
        </w:r>
        <w:r w:rsidRPr="00712AC2">
          <w:rPr>
            <w:rFonts w:ascii="Montserrat" w:hAnsi="Montserrat"/>
          </w:rPr>
          <w:instrText xml:space="preserve"> PAGE   \* MERGEFORMAT </w:instrText>
        </w:r>
        <w:r w:rsidRPr="00712AC2">
          <w:rPr>
            <w:rFonts w:ascii="Montserrat" w:hAnsi="Montserrat"/>
          </w:rPr>
          <w:fldChar w:fldCharType="separate"/>
        </w:r>
        <w:r w:rsidRPr="00712AC2">
          <w:rPr>
            <w:rFonts w:ascii="Montserrat" w:hAnsi="Montserrat"/>
            <w:noProof/>
          </w:rPr>
          <w:t>2</w:t>
        </w:r>
        <w:r w:rsidRPr="00712AC2">
          <w:rPr>
            <w:rFonts w:ascii="Montserrat" w:hAnsi="Montserrat"/>
            <w:noProof/>
          </w:rPr>
          <w:fldChar w:fldCharType="end"/>
        </w:r>
      </w:sdtContent>
    </w:sdt>
  </w:p>
  <w:p w14:paraId="4E670E12" w14:textId="0DCC247A" w:rsidR="00E01672" w:rsidRDefault="00E0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02EB" w14:textId="77777777" w:rsidR="00BB39F7" w:rsidRDefault="00BB39F7" w:rsidP="00E01672">
      <w:pPr>
        <w:spacing w:after="0" w:line="240" w:lineRule="auto"/>
      </w:pPr>
      <w:r>
        <w:separator/>
      </w:r>
    </w:p>
  </w:footnote>
  <w:footnote w:type="continuationSeparator" w:id="0">
    <w:p w14:paraId="6542B0C0" w14:textId="77777777" w:rsidR="00BB39F7" w:rsidRDefault="00BB39F7" w:rsidP="00E0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5219"/>
    <w:multiLevelType w:val="hybridMultilevel"/>
    <w:tmpl w:val="848C6EC2"/>
    <w:lvl w:ilvl="0" w:tplc="76680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3C8"/>
    <w:multiLevelType w:val="multilevel"/>
    <w:tmpl w:val="96525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E6337"/>
    <w:multiLevelType w:val="hybridMultilevel"/>
    <w:tmpl w:val="F706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4288E"/>
    <w:multiLevelType w:val="hybridMultilevel"/>
    <w:tmpl w:val="F1AE3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2D5"/>
    <w:multiLevelType w:val="hybridMultilevel"/>
    <w:tmpl w:val="B858A8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C3EC1"/>
    <w:multiLevelType w:val="hybridMultilevel"/>
    <w:tmpl w:val="82A0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6317"/>
    <w:multiLevelType w:val="hybridMultilevel"/>
    <w:tmpl w:val="5896E066"/>
    <w:lvl w:ilvl="0" w:tplc="76680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552EF"/>
    <w:multiLevelType w:val="multilevel"/>
    <w:tmpl w:val="D892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A2E41"/>
    <w:multiLevelType w:val="hybridMultilevel"/>
    <w:tmpl w:val="65A8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C435F"/>
    <w:multiLevelType w:val="multilevel"/>
    <w:tmpl w:val="8D3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34B43"/>
    <w:multiLevelType w:val="hybridMultilevel"/>
    <w:tmpl w:val="0EE0E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0C9B"/>
    <w:multiLevelType w:val="hybridMultilevel"/>
    <w:tmpl w:val="B6AC9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5568"/>
    <w:multiLevelType w:val="multilevel"/>
    <w:tmpl w:val="83B0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D1FA7"/>
    <w:multiLevelType w:val="hybridMultilevel"/>
    <w:tmpl w:val="CBD40C3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A1108B"/>
    <w:multiLevelType w:val="multilevel"/>
    <w:tmpl w:val="D440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D7131"/>
    <w:multiLevelType w:val="multilevel"/>
    <w:tmpl w:val="5430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044BA"/>
    <w:multiLevelType w:val="multilevel"/>
    <w:tmpl w:val="ADBE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B0CB4"/>
    <w:multiLevelType w:val="hybridMultilevel"/>
    <w:tmpl w:val="315AD2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9482275"/>
    <w:multiLevelType w:val="multilevel"/>
    <w:tmpl w:val="2FAA1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179094">
    <w:abstractNumId w:val="15"/>
  </w:num>
  <w:num w:numId="2" w16cid:durableId="1138298001">
    <w:abstractNumId w:val="15"/>
    <w:lvlOverride w:ilvl="1">
      <w:lvl w:ilvl="1">
        <w:numFmt w:val="lowerLetter"/>
        <w:lvlText w:val="%2."/>
        <w:lvlJc w:val="left"/>
      </w:lvl>
    </w:lvlOverride>
  </w:num>
  <w:num w:numId="3" w16cid:durableId="1409423583">
    <w:abstractNumId w:val="15"/>
    <w:lvlOverride w:ilvl="1">
      <w:lvl w:ilvl="1">
        <w:numFmt w:val="lowerLetter"/>
        <w:lvlText w:val="%2."/>
        <w:lvlJc w:val="left"/>
      </w:lvl>
    </w:lvlOverride>
  </w:num>
  <w:num w:numId="4" w16cid:durableId="890506602">
    <w:abstractNumId w:val="15"/>
    <w:lvlOverride w:ilvl="1">
      <w:lvl w:ilvl="1">
        <w:numFmt w:val="lowerLetter"/>
        <w:lvlText w:val="%2."/>
        <w:lvlJc w:val="left"/>
      </w:lvl>
    </w:lvlOverride>
  </w:num>
  <w:num w:numId="5" w16cid:durableId="826095782">
    <w:abstractNumId w:val="15"/>
    <w:lvlOverride w:ilvl="1">
      <w:lvl w:ilvl="1">
        <w:numFmt w:val="lowerLetter"/>
        <w:lvlText w:val="%2."/>
        <w:lvlJc w:val="left"/>
      </w:lvl>
    </w:lvlOverride>
  </w:num>
  <w:num w:numId="6" w16cid:durableId="1486360538">
    <w:abstractNumId w:val="15"/>
    <w:lvlOverride w:ilvl="1">
      <w:lvl w:ilvl="1">
        <w:numFmt w:val="lowerLetter"/>
        <w:lvlText w:val="%2."/>
        <w:lvlJc w:val="left"/>
      </w:lvl>
    </w:lvlOverride>
  </w:num>
  <w:num w:numId="7" w16cid:durableId="529535981">
    <w:abstractNumId w:val="15"/>
    <w:lvlOverride w:ilvl="1">
      <w:lvl w:ilvl="1">
        <w:numFmt w:val="lowerLetter"/>
        <w:lvlText w:val="%2."/>
        <w:lvlJc w:val="left"/>
      </w:lvl>
    </w:lvlOverride>
  </w:num>
  <w:num w:numId="8" w16cid:durableId="2132236796">
    <w:abstractNumId w:val="15"/>
    <w:lvlOverride w:ilvl="1">
      <w:lvl w:ilvl="1">
        <w:numFmt w:val="lowerLetter"/>
        <w:lvlText w:val="%2."/>
        <w:lvlJc w:val="left"/>
      </w:lvl>
    </w:lvlOverride>
  </w:num>
  <w:num w:numId="9" w16cid:durableId="652947211">
    <w:abstractNumId w:val="15"/>
    <w:lvlOverride w:ilvl="1">
      <w:lvl w:ilvl="1">
        <w:numFmt w:val="lowerLetter"/>
        <w:lvlText w:val="%2."/>
        <w:lvlJc w:val="left"/>
      </w:lvl>
    </w:lvlOverride>
  </w:num>
  <w:num w:numId="10" w16cid:durableId="264575839">
    <w:abstractNumId w:val="7"/>
  </w:num>
  <w:num w:numId="11" w16cid:durableId="654450475">
    <w:abstractNumId w:val="14"/>
  </w:num>
  <w:num w:numId="12" w16cid:durableId="1413547949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611164215">
    <w:abstractNumId w:val="16"/>
  </w:num>
  <w:num w:numId="14" w16cid:durableId="1029258075">
    <w:abstractNumId w:val="1"/>
  </w:num>
  <w:num w:numId="15" w16cid:durableId="1585459266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676221414">
    <w:abstractNumId w:val="9"/>
  </w:num>
  <w:num w:numId="17" w16cid:durableId="248736738">
    <w:abstractNumId w:val="12"/>
  </w:num>
  <w:num w:numId="18" w16cid:durableId="2038114363">
    <w:abstractNumId w:val="4"/>
  </w:num>
  <w:num w:numId="19" w16cid:durableId="1135686088">
    <w:abstractNumId w:val="3"/>
  </w:num>
  <w:num w:numId="20" w16cid:durableId="1524630100">
    <w:abstractNumId w:val="2"/>
  </w:num>
  <w:num w:numId="21" w16cid:durableId="495848701">
    <w:abstractNumId w:val="0"/>
  </w:num>
  <w:num w:numId="22" w16cid:durableId="252978712">
    <w:abstractNumId w:val="6"/>
  </w:num>
  <w:num w:numId="23" w16cid:durableId="11959745">
    <w:abstractNumId w:val="17"/>
  </w:num>
  <w:num w:numId="24" w16cid:durableId="177160892">
    <w:abstractNumId w:val="13"/>
  </w:num>
  <w:num w:numId="25" w16cid:durableId="529489003">
    <w:abstractNumId w:val="10"/>
  </w:num>
  <w:num w:numId="26" w16cid:durableId="1295259980">
    <w:abstractNumId w:val="5"/>
  </w:num>
  <w:num w:numId="27" w16cid:durableId="1216964305">
    <w:abstractNumId w:val="8"/>
  </w:num>
  <w:num w:numId="28" w16cid:durableId="185546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8B"/>
    <w:rsid w:val="000111D7"/>
    <w:rsid w:val="000C358F"/>
    <w:rsid w:val="000D7F41"/>
    <w:rsid w:val="000F4A21"/>
    <w:rsid w:val="000F504B"/>
    <w:rsid w:val="001544E8"/>
    <w:rsid w:val="00182E58"/>
    <w:rsid w:val="00192768"/>
    <w:rsid w:val="001A02E5"/>
    <w:rsid w:val="001D6FDF"/>
    <w:rsid w:val="00256348"/>
    <w:rsid w:val="00296F78"/>
    <w:rsid w:val="003C7FB6"/>
    <w:rsid w:val="003F138A"/>
    <w:rsid w:val="00406477"/>
    <w:rsid w:val="004D21B2"/>
    <w:rsid w:val="00625E1D"/>
    <w:rsid w:val="007017CB"/>
    <w:rsid w:val="00712AC2"/>
    <w:rsid w:val="007422BD"/>
    <w:rsid w:val="007A1582"/>
    <w:rsid w:val="007A4E15"/>
    <w:rsid w:val="007B6ADF"/>
    <w:rsid w:val="008018F3"/>
    <w:rsid w:val="00837944"/>
    <w:rsid w:val="00854100"/>
    <w:rsid w:val="0088454C"/>
    <w:rsid w:val="00891F6A"/>
    <w:rsid w:val="008B0FF2"/>
    <w:rsid w:val="008D531C"/>
    <w:rsid w:val="009C1EA2"/>
    <w:rsid w:val="009F3460"/>
    <w:rsid w:val="009F6A44"/>
    <w:rsid w:val="00A56ABA"/>
    <w:rsid w:val="00A636E0"/>
    <w:rsid w:val="00A83479"/>
    <w:rsid w:val="00AC3A5F"/>
    <w:rsid w:val="00AC686D"/>
    <w:rsid w:val="00BB39F7"/>
    <w:rsid w:val="00C976E9"/>
    <w:rsid w:val="00CB02C8"/>
    <w:rsid w:val="00CC3188"/>
    <w:rsid w:val="00CD336F"/>
    <w:rsid w:val="00D66473"/>
    <w:rsid w:val="00DE6E8E"/>
    <w:rsid w:val="00E01672"/>
    <w:rsid w:val="00E503B7"/>
    <w:rsid w:val="00F55E8B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BBF8"/>
  <w15:chartTrackingRefBased/>
  <w15:docId w15:val="{C93315F7-1D8F-45DF-B1A9-32C1AFE5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F2"/>
  </w:style>
  <w:style w:type="paragraph" w:styleId="Heading1">
    <w:name w:val="heading 1"/>
    <w:basedOn w:val="Normal"/>
    <w:next w:val="Normal"/>
    <w:link w:val="Heading1Char"/>
    <w:uiPriority w:val="9"/>
    <w:qFormat/>
    <w:rsid w:val="00F55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55E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F7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0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672"/>
  </w:style>
  <w:style w:type="paragraph" w:styleId="Footer">
    <w:name w:val="footer"/>
    <w:basedOn w:val="Normal"/>
    <w:link w:val="FooterChar"/>
    <w:uiPriority w:val="99"/>
    <w:unhideWhenUsed/>
    <w:rsid w:val="00E0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8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90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fpvRbUxPS3LmB6Qp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ricopa.edu/non-discrimin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copa.edu/become-student?__hstc=226443589.a0b47de8a34fa2b57f11ffdbf234540e.1747942759120.1750801561735.1750955169838.16&amp;__hssc=226443589.2.1750955169838&amp;__hsfp=21384639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ricopa.edu/non-discrimination" TargetMode="External"/><Relationship Id="rId10" Type="http://schemas.openxmlformats.org/officeDocument/2006/relationships/hyperlink" Target="https://forms.gle/fpvRbUxPS3LmB6Qp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538</Words>
  <Characters>2797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Brown</dc:creator>
  <cp:keywords/>
  <dc:description/>
  <cp:lastModifiedBy>Allan Zisner</cp:lastModifiedBy>
  <cp:revision>9</cp:revision>
  <dcterms:created xsi:type="dcterms:W3CDTF">2025-08-05T19:51:00Z</dcterms:created>
  <dcterms:modified xsi:type="dcterms:W3CDTF">2025-08-10T16:47:00Z</dcterms:modified>
</cp:coreProperties>
</file>